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E4A"/>
          <w:sz w:val="56"/>
        </w:rPr>
        <w:t>The Tailored Closet</w:t>
      </w:r>
    </w:p>
    <w:p>
      <w:pPr>
        <w:jc w:val="center"/>
      </w:pPr>
      <w:r>
        <w:rPr>
          <w:color w:val="1A2E4A"/>
          <w:sz w:val="48"/>
        </w:rPr>
        <w:t>Organizational Alignment Assessment</w:t>
      </w:r>
    </w:p>
    <w:p/>
    <w:p/>
    <w:p>
      <w:pPr>
        <w:jc w:val="center"/>
      </w:pPr>
      <w:r>
        <w:rPr>
          <w:sz w:val="28"/>
        </w:rPr>
        <w:t>Prepared by</w:t>
        <w:br/>
        <w:t>Business Succession Pros, Inc.</w:t>
      </w:r>
    </w:p>
    <w:p/>
    <w:p>
      <w:pPr>
        <w:jc w:val="center"/>
      </w:pPr>
      <w:r>
        <w:rPr>
          <w:sz w:val="28"/>
        </w:rPr>
        <w:t>March 2026</w:t>
      </w:r>
    </w:p>
    <w:p/>
    <w:p>
      <w:pPr>
        <w:jc w:val="center"/>
      </w:pPr>
      <w:r>
        <w:rPr>
          <w:b/>
          <w:color w:val="DC3545"/>
          <w:sz w:val="32"/>
        </w:rPr>
        <w:t>CONFIDENTIAL</w:t>
      </w:r>
    </w:p>
    <w:p>
      <w:r>
        <w:br w:type="page"/>
      </w:r>
    </w:p>
    <w:p>
      <w:pPr>
        <w:pStyle w:val="Heading1"/>
      </w:pPr>
      <w:r>
        <w:rPr>
          <w:color w:val="1A2E4A"/>
        </w:rPr>
        <w:t>Table of Contents</w:t>
      </w:r>
    </w:p>
    <w:p>
      <w:pPr>
        <w:pStyle w:val="ListBullet"/>
      </w:pPr>
      <w:r>
        <w:rPr>
          <w:sz w:val="24"/>
        </w:rPr>
        <w:t>Executive Summary</w:t>
      </w:r>
    </w:p>
    <w:p>
      <w:pPr>
        <w:pStyle w:val="ListBullet"/>
      </w:pPr>
      <w:r>
        <w:rPr>
          <w:sz w:val="24"/>
        </w:rPr>
        <w:t>Section 1: Alignment Overview</w:t>
      </w:r>
    </w:p>
    <w:p>
      <w:pPr>
        <w:pStyle w:val="ListBullet"/>
      </w:pPr>
      <w:r>
        <w:rPr>
          <w:sz w:val="24"/>
        </w:rPr>
        <w:t>Section 2: Critical Findings</w:t>
      </w:r>
    </w:p>
    <w:p>
      <w:pPr>
        <w:pStyle w:val="ListBullet"/>
      </w:pPr>
      <w:r>
        <w:rPr>
          <w:sz w:val="24"/>
        </w:rPr>
        <w:t>Section 3: Strengths to Leverage</w:t>
      </w:r>
    </w:p>
    <w:p>
      <w:pPr>
        <w:pStyle w:val="ListBullet"/>
      </w:pPr>
      <w:r>
        <w:rPr>
          <w:sz w:val="24"/>
        </w:rPr>
        <w:t>Section 4: Cassidy Thompson's Operational Insights</w:t>
      </w:r>
    </w:p>
    <w:p>
      <w:pPr>
        <w:pStyle w:val="ListBullet"/>
      </w:pPr>
      <w:r>
        <w:rPr>
          <w:sz w:val="24"/>
        </w:rPr>
        <w:t>Section 5: Recommendations &amp; Action Plan</w:t>
      </w:r>
    </w:p>
    <w:p>
      <w:pPr>
        <w:pStyle w:val="ListBullet"/>
      </w:pPr>
      <w:r>
        <w:rPr>
          <w:sz w:val="24"/>
        </w:rPr>
        <w:t>Section 6: Conclusion</w:t>
      </w:r>
    </w:p>
    <w:p>
      <w:r>
        <w:br w:type="page"/>
      </w:r>
    </w:p>
    <w:p>
      <w:pPr>
        <w:pStyle w:val="Heading1"/>
      </w:pPr>
      <w:r>
        <w:rPr>
          <w:color w:val="1A2E4A"/>
        </w:rPr>
        <w:t>Executive Summary</w:t>
      </w:r>
    </w:p>
    <w:p>
      <w:r>
        <w:rPr>
          <w:b/>
        </w:rPr>
        <w:t xml:space="preserve">Respondents: </w:t>
      </w:r>
      <w:r>
        <w:t>3 participants — Dana Nuesca (Owner), Kalani (Owner), Cassidy Thompson (Operations Manager)</w:t>
      </w:r>
    </w:p>
    <w:p>
      <w:r>
        <w:rPr>
          <w:b/>
        </w:rPr>
        <w:t xml:space="preserve">Survey Period: </w:t>
      </w:r>
      <w:r>
        <w:t>March 9-16, 2026</w:t>
      </w:r>
    </w:p>
    <w:p>
      <w:r>
        <w:rPr>
          <w:b/>
        </w:rPr>
        <w:t xml:space="preserve">Assessment Scope: </w:t>
      </w:r>
      <w:r>
        <w:t>22 questions across 6 organizational themes</w:t>
      </w:r>
    </w:p>
    <w:p>
      <w:r>
        <w:rPr>
          <w:b/>
        </w:rPr>
        <w:t xml:space="preserve">Overall Score: </w:t>
      </w:r>
      <w:r>
        <w:t>4.0/5.0</w:t>
      </w:r>
    </w:p>
    <w:p/>
    <w:p>
      <w:pPr>
        <w:pStyle w:val="Heading2"/>
      </w:pPr>
      <w:r>
        <w:rPr>
          <w:color w:val="1A2E4A"/>
        </w:rPr>
        <w:t>Key Finding: Owner Alignment Gap</w:t>
      </w:r>
    </w:p>
    <w:p>
      <w:r>
        <w:t>Kalani consistently scores lower than Dana on strategic and financial items, creating a critical misalignment at the ownership level. This gap poses a significant risk to strategic execution and organizational effectiveness. Notably, the Operations Manager (Cassidy Thompson) demonstrates stronger alignment with Dana than does the co-owner (Kalani), which is a red flag requiring immediate attention.</w:t>
      </w:r>
    </w:p>
    <w:p>
      <w:r>
        <w:br w:type="page"/>
      </w:r>
    </w:p>
    <w:p>
      <w:pPr>
        <w:pStyle w:val="Heading1"/>
      </w:pPr>
      <w:r>
        <w:rPr>
          <w:color w:val="1A2E4A"/>
        </w:rPr>
        <w:t>Section 1: Alignment Overview</w:t>
      </w:r>
    </w:p>
    <w:p>
      <w:r>
        <w:t>The following table presents all 22 assessment questions with individual scores, averages, and gap analysis. Color coding indicates alignment quality: Green (gap 0-1) = Strong alignment; Amber (gap 2) = Moderate concern; Red (gap 3+) = Critical misalignment.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Dana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Cassidy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Kalani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Avg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Gap</w:t>
            </w:r>
          </w:p>
        </w:tc>
        <w:tc>
          <w:tcPr>
            <w:tcW w:type="dxa" w:w="1234"/>
            <w:shd w:fill="1a2e4a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1234"/>
          </w:tcPr>
          <w:p>
            <w:r>
              <w:t>1. Clear Vision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5.0</w:t>
            </w:r>
          </w:p>
        </w:tc>
        <w:tc>
          <w:tcPr>
            <w:tcW w:type="dxa" w:w="1234"/>
            <w:shd w:fill="28a745"/>
          </w:tcPr>
          <w:p>
            <w:r>
              <w:t>0</w:t>
            </w:r>
          </w:p>
        </w:tc>
        <w:tc>
          <w:tcPr>
            <w:tcW w:type="dxa" w:w="1234"/>
          </w:tcPr>
          <w:p>
            <w:r>
              <w:t>✅</w:t>
            </w:r>
          </w:p>
        </w:tc>
      </w:tr>
      <w:tr>
        <w:tc>
          <w:tcPr>
            <w:tcW w:type="dxa" w:w="1234"/>
            <w:shd w:fill="f2f2f2"/>
          </w:tcPr>
          <w:p>
            <w:r>
              <w:t>2. Core Values Clear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5.0</w:t>
            </w:r>
          </w:p>
        </w:tc>
        <w:tc>
          <w:tcPr>
            <w:tcW w:type="dxa" w:w="1234"/>
            <w:shd w:fill="28a745"/>
          </w:tcPr>
          <w:p>
            <w:r>
              <w:t>0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3. Core Business Focus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4.3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✅</w:t>
            </w:r>
          </w:p>
        </w:tc>
      </w:tr>
      <w:tr>
        <w:tc>
          <w:tcPr>
            <w:tcW w:type="dxa" w:w="1234"/>
            <w:shd w:fill="f2f2f2"/>
          </w:tcPr>
          <w:p>
            <w:r>
              <w:t>4. 5-Year Target Clear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2</w:t>
            </w:r>
          </w:p>
        </w:tc>
        <w:tc>
          <w:tcPr>
            <w:tcW w:type="dxa" w:w="1234"/>
            <w:shd w:fill="f2f2f2"/>
          </w:tcPr>
          <w:p>
            <w:r>
              <w:t>4.0</w:t>
            </w:r>
          </w:p>
        </w:tc>
        <w:tc>
          <w:tcPr>
            <w:tcW w:type="dxa" w:w="1234"/>
            <w:shd w:fill="dc3545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🔴</w:t>
            </w:r>
          </w:p>
        </w:tc>
      </w:tr>
      <w:tr>
        <w:tc>
          <w:tcPr>
            <w:tcW w:type="dxa" w:w="1234"/>
          </w:tcPr>
          <w:p>
            <w:r>
              <w:t>5. Target Market Clear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4.0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6. Differentiators Clear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4.3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  <w:shd w:fill="f2f2f2"/>
          </w:tcPr>
          <w:p>
            <w:r>
              <w:t>⚠️</w:t>
            </w:r>
          </w:p>
        </w:tc>
      </w:tr>
      <w:tr>
        <w:tc>
          <w:tcPr>
            <w:tcW w:type="dxa" w:w="1234"/>
          </w:tcPr>
          <w:p>
            <w:r>
              <w:t>7. Proven Customer Process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3.3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✅</w:t>
            </w:r>
          </w:p>
        </w:tc>
      </w:tr>
      <w:tr>
        <w:tc>
          <w:tcPr>
            <w:tcW w:type="dxa" w:w="1234"/>
            <w:shd w:fill="f2f2f2"/>
          </w:tcPr>
          <w:p>
            <w:r>
              <w:t>8. Right People (Culture Fit)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3.7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  <w:shd w:fill="f2f2f2"/>
          </w:tcPr>
          <w:p>
            <w:r>
              <w:t>⚠️</w:t>
            </w:r>
          </w:p>
        </w:tc>
      </w:tr>
      <w:tr>
        <w:tc>
          <w:tcPr>
            <w:tcW w:type="dxa" w:w="1234"/>
          </w:tcPr>
          <w:p>
            <w:r>
              <w:t>9. Clearly Defined Roles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4.0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10. Right People in Right Roles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4.0</w:t>
            </w:r>
          </w:p>
        </w:tc>
        <w:tc>
          <w:tcPr>
            <w:tcW w:type="dxa" w:w="1234"/>
            <w:shd w:fill="28a745"/>
          </w:tcPr>
          <w:p>
            <w:r>
              <w:t>0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11. Team Communication &amp; Trust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3.3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✅</w:t>
            </w:r>
          </w:p>
        </w:tc>
      </w:tr>
      <w:tr>
        <w:tc>
          <w:tcPr>
            <w:tcW w:type="dxa" w:w="1234"/>
            <w:shd w:fill="f2f2f2"/>
          </w:tcPr>
          <w:p>
            <w:r>
              <w:t>12. Quarterly Goals &amp; Focus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3.3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13. Regular Weekly Touchpoints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4.0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14. Regular Touchpoints (2)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4.7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15. Same Day/Time/Agenda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4.0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16. Identifies &amp; Solves Issues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4.0</w:t>
            </w:r>
          </w:p>
        </w:tc>
        <w:tc>
          <w:tcPr>
            <w:tcW w:type="dxa" w:w="1234"/>
            <w:shd w:fill="28a745"/>
          </w:tcPr>
          <w:p>
            <w:r>
              <w:t>0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17. Core Processes Documented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3.7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✅</w:t>
            </w:r>
          </w:p>
        </w:tc>
      </w:tr>
      <w:tr>
        <w:tc>
          <w:tcPr>
            <w:tcW w:type="dxa" w:w="1234"/>
            <w:shd w:fill="f2f2f2"/>
          </w:tcPr>
          <w:p>
            <w:r>
              <w:t>18. Customer Feedback System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4.3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  <w:shd w:fill="f2f2f2"/>
          </w:tcPr>
          <w:p>
            <w:r>
              <w:t>⚠️</w:t>
            </w:r>
          </w:p>
        </w:tc>
      </w:tr>
      <w:tr>
        <w:tc>
          <w:tcPr>
            <w:tcW w:type="dxa" w:w="1234"/>
          </w:tcPr>
          <w:p>
            <w:r>
              <w:t>19. Performance Scorecard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3.7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20. Weekly Number Tracked</w:t>
            </w:r>
          </w:p>
        </w:tc>
        <w:tc>
          <w:tcPr>
            <w:tcW w:type="dxa" w:w="1234"/>
            <w:shd w:fill="f2f2f2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4</w:t>
            </w:r>
          </w:p>
        </w:tc>
        <w:tc>
          <w:tcPr>
            <w:tcW w:type="dxa" w:w="1234"/>
            <w:shd w:fill="f2f2f2"/>
          </w:tcPr>
          <w:p>
            <w:r>
              <w:t>3.7</w:t>
            </w:r>
          </w:p>
        </w:tc>
        <w:tc>
          <w:tcPr>
            <w:tcW w:type="dxa" w:w="1234"/>
            <w:shd w:fill="28a745"/>
          </w:tcPr>
          <w:p>
            <w:r>
              <w:t>1</w:t>
            </w:r>
          </w:p>
        </w:tc>
        <w:tc>
          <w:tcPr>
            <w:tcW w:type="dxa" w:w="1234"/>
            <w:shd w:fill="f2f2f2"/>
          </w:tcPr>
          <w:p>
            <w:r>
              <w:t>✅</w:t>
            </w:r>
          </w:p>
        </w:tc>
      </w:tr>
      <w:tr>
        <w:tc>
          <w:tcPr>
            <w:tcW w:type="dxa" w:w="1234"/>
          </w:tcPr>
          <w:p>
            <w:r>
              <w:t>21. Weekly Number (2)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4.0</w:t>
            </w:r>
          </w:p>
        </w:tc>
        <w:tc>
          <w:tcPr>
            <w:tcW w:type="dxa" w:w="1234"/>
            <w:shd w:fill="ffc107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⚠️</w:t>
            </w:r>
          </w:p>
        </w:tc>
      </w:tr>
      <w:tr>
        <w:tc>
          <w:tcPr>
            <w:tcW w:type="dxa" w:w="1234"/>
            <w:shd w:fill="f2f2f2"/>
          </w:tcPr>
          <w:p>
            <w:r>
              <w:t>22. Financial Metrics Quarterly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5</w:t>
            </w:r>
          </w:p>
        </w:tc>
        <w:tc>
          <w:tcPr>
            <w:tcW w:type="dxa" w:w="1234"/>
            <w:shd w:fill="f2f2f2"/>
          </w:tcPr>
          <w:p>
            <w:r>
              <w:t>2</w:t>
            </w:r>
          </w:p>
        </w:tc>
        <w:tc>
          <w:tcPr>
            <w:tcW w:type="dxa" w:w="1234"/>
            <w:shd w:fill="f2f2f2"/>
          </w:tcPr>
          <w:p>
            <w:r>
              <w:t>4.0</w:t>
            </w:r>
          </w:p>
        </w:tc>
        <w:tc>
          <w:tcPr>
            <w:tcW w:type="dxa" w:w="1234"/>
            <w:shd w:fill="dc3545"/>
          </w:tcPr>
          <w:p>
            <w:r>
              <w:t>3</w:t>
            </w:r>
          </w:p>
        </w:tc>
        <w:tc>
          <w:tcPr>
            <w:tcW w:type="dxa" w:w="1234"/>
            <w:shd w:fill="f2f2f2"/>
          </w:tcPr>
          <w:p>
            <w:r>
              <w:t>🔴</w:t>
            </w:r>
          </w:p>
        </w:tc>
      </w:tr>
    </w:tbl>
    <w:p/>
    <w:p>
      <w:pPr>
        <w:pStyle w:val="Heading2"/>
      </w:pPr>
      <w:r>
        <w:rPr>
          <w:color w:val="1A2E4A"/>
        </w:rPr>
        <w:t>Category Scores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2e4a"/>
          </w:tcPr>
          <w:p>
            <w:r>
              <w:rPr>
                <w:b/>
                <w:color w:val="FFFFFF"/>
              </w:rPr>
              <w:t>Category</w:t>
            </w:r>
          </w:p>
        </w:tc>
        <w:tc>
          <w:tcPr>
            <w:tcW w:type="dxa" w:w="2880"/>
            <w:shd w:fill="1a2e4a"/>
          </w:tcPr>
          <w:p>
            <w:r>
              <w:rPr>
                <w:b/>
                <w:color w:val="FFFFFF"/>
              </w:rPr>
              <w:t>Score</w:t>
            </w:r>
          </w:p>
        </w:tc>
        <w:tc>
          <w:tcPr>
            <w:tcW w:type="dxa" w:w="2880"/>
            <w:shd w:fill="1a2e4a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2880"/>
          </w:tcPr>
          <w:p>
            <w:r>
              <w:t>Strategic</w:t>
            </w:r>
          </w:p>
        </w:tc>
        <w:tc>
          <w:tcPr>
            <w:tcW w:type="dxa" w:w="2880"/>
          </w:tcPr>
          <w:p>
            <w:r>
              <w:t>4.4/5.0</w:t>
            </w:r>
          </w:p>
        </w:tc>
        <w:tc>
          <w:tcPr>
            <w:tcW w:type="dxa" w:w="2880"/>
          </w:tcPr>
          <w:p>
            <w:r>
              <w:t>✅</w:t>
            </w:r>
          </w:p>
        </w:tc>
      </w:tr>
      <w:tr>
        <w:tc>
          <w:tcPr>
            <w:tcW w:type="dxa" w:w="2880"/>
          </w:tcPr>
          <w:p>
            <w:r>
              <w:t>Process</w:t>
            </w:r>
          </w:p>
        </w:tc>
        <w:tc>
          <w:tcPr>
            <w:tcW w:type="dxa" w:w="2880"/>
          </w:tcPr>
          <w:p>
            <w:r>
              <w:t>3.8/5.0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People</w:t>
            </w:r>
          </w:p>
        </w:tc>
        <w:tc>
          <w:tcPr>
            <w:tcW w:type="dxa" w:w="2880"/>
          </w:tcPr>
          <w:p>
            <w:r>
              <w:t>3.8/5.0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Accountability</w:t>
            </w:r>
          </w:p>
        </w:tc>
        <w:tc>
          <w:tcPr>
            <w:tcW w:type="dxa" w:w="2880"/>
          </w:tcPr>
          <w:p>
            <w:r>
              <w:t>4.0/5.0</w:t>
            </w:r>
          </w:p>
        </w:tc>
        <w:tc>
          <w:tcPr>
            <w:tcW w:type="dxa" w:w="2880"/>
          </w:tcPr>
          <w:p>
            <w:r>
              <w:t>✅</w:t>
            </w:r>
          </w:p>
        </w:tc>
      </w:tr>
      <w:tr>
        <w:tc>
          <w:tcPr>
            <w:tcW w:type="dxa" w:w="2880"/>
          </w:tcPr>
          <w:p>
            <w:r>
              <w:t>Management</w:t>
            </w:r>
          </w:p>
        </w:tc>
        <w:tc>
          <w:tcPr>
            <w:tcW w:type="dxa" w:w="2880"/>
          </w:tcPr>
          <w:p>
            <w:r>
              <w:t>4.0/5.0</w:t>
            </w:r>
          </w:p>
        </w:tc>
        <w:tc>
          <w:tcPr>
            <w:tcW w:type="dxa" w:w="2880"/>
          </w:tcPr>
          <w:p>
            <w:r>
              <w:t>✅</w:t>
            </w:r>
          </w:p>
        </w:tc>
      </w:tr>
      <w:tr>
        <w:tc>
          <w:tcPr>
            <w:tcW w:type="dxa" w:w="2880"/>
          </w:tcPr>
          <w:p>
            <w:r>
              <w:t>Metrics</w:t>
            </w:r>
          </w:p>
        </w:tc>
        <w:tc>
          <w:tcPr>
            <w:tcW w:type="dxa" w:w="2880"/>
          </w:tcPr>
          <w:p>
            <w:r>
              <w:t>3.8/5.0</w:t>
            </w:r>
          </w:p>
        </w:tc>
        <w:tc>
          <w:tcPr>
            <w:tcW w:type="dxa" w:w="2880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rPr>
          <w:color w:val="1A2E4A"/>
        </w:rPr>
        <w:t>Section 2: Critical Findings</w:t>
      </w:r>
    </w:p>
    <w:p>
      <w:pPr>
        <w:pStyle w:val="Heading2"/>
      </w:pPr>
      <w:r>
        <w:rPr>
          <w:color w:val="DC3545"/>
        </w:rPr>
        <w:t>Finding 1: CRITICAL — Owner Strategic Misalignment (Kalani)</w:t>
      </w:r>
    </w:p>
    <w:p>
      <w:pPr>
        <w:pStyle w:val="ListBullet"/>
      </w:pPr>
      <w:r>
        <w:t>5-Year Target: Kalani scored 2 vs Dana 5, Cassidy 5 (Gap: 3)</w:t>
      </w:r>
    </w:p>
    <w:p>
      <w:pPr>
        <w:pStyle w:val="ListBullet"/>
      </w:pPr>
      <w:r>
        <w:t>Financial Metrics: Kalani scored 2 vs Dana 5, Cassidy 5 (Gap: 3)</w:t>
      </w:r>
    </w:p>
    <w:p>
      <w:pPr>
        <w:pStyle w:val="ListBullet"/>
      </w:pPr>
      <w:r>
        <w:t>Target Market: Kalani scored 3 vs Dana 5 (Gap: 2)</w:t>
      </w:r>
    </w:p>
    <w:p>
      <w:pPr>
        <w:pStyle w:val="ListBullet"/>
      </w:pPr>
      <w:r>
        <w:t>Differentiators: Kalani scored 3 vs Dana 5, Cassidy 5 (Gap: 2)</w:t>
      </w:r>
    </w:p>
    <w:p>
      <w:r>
        <w:rPr>
          <w:b/>
        </w:rPr>
        <w:t xml:space="preserve">Pattern: </w:t>
      </w:r>
      <w:r>
        <w:t>Kalani is consistently disconnected from strategic direction and financial visibility.</w:t>
      </w:r>
    </w:p>
    <w:p>
      <w:r>
        <w:rPr>
          <w:b/>
        </w:rPr>
        <w:t xml:space="preserve">Risk: </w:t>
      </w:r>
      <w:r>
        <w:t>If both owners aren't aligned, it undermines every downstream initiative.</w:t>
      </w:r>
    </w:p>
    <w:p>
      <w:r>
        <w:rPr>
          <w:b/>
        </w:rPr>
        <w:t xml:space="preserve">Critical Observation: </w:t>
      </w:r>
      <w:r>
        <w:t>The manager (Cassidy) is MORE aligned with Dana than the co-owner (Kalani) — this is a red flag.</w:t>
      </w:r>
    </w:p>
    <w:p/>
    <w:p>
      <w:pPr>
        <w:pStyle w:val="Heading2"/>
      </w:pPr>
      <w:r>
        <w:rPr>
          <w:color w:val="FFC107"/>
        </w:rPr>
        <w:t>Finding 2: Meeting &amp; Accountability Structure Needs Work</w:t>
      </w:r>
    </w:p>
    <w:p>
      <w:pPr>
        <w:pStyle w:val="ListBullet"/>
      </w:pPr>
      <w:r>
        <w:t>Same Day/Time/Agenda: Cassidy scored 3 (vs Dana 5, Kalani 4)</w:t>
      </w:r>
    </w:p>
    <w:p>
      <w:pPr>
        <w:pStyle w:val="ListBullet"/>
      </w:pPr>
      <w:r>
        <w:t>Performance Scorecard: Cassidy 3, Kalani 3 (vs Dana 5)</w:t>
      </w:r>
    </w:p>
    <w:p>
      <w:pPr>
        <w:pStyle w:val="ListBullet"/>
      </w:pPr>
      <w:r>
        <w:t>Quarterly Goals: Cassidy 3, Kalani 3 (vs Dana 4)</w:t>
      </w:r>
    </w:p>
    <w:p>
      <w:r>
        <w:rPr>
          <w:b/>
        </w:rPr>
        <w:t xml:space="preserve">Issue: </w:t>
      </w:r>
      <w:r>
        <w:t>Cassidy doesn't feel meetings are structured or consistent. Both Kalani and Cassidy feel scorecard/accountability is weak.</w:t>
      </w:r>
    </w:p>
    <w:p/>
    <w:p>
      <w:pPr>
        <w:pStyle w:val="Heading2"/>
      </w:pPr>
      <w:r>
        <w:rPr>
          <w:color w:val="FFC107"/>
        </w:rPr>
        <w:t>Finding 3: Operational Process Gaps</w:t>
      </w:r>
    </w:p>
    <w:p>
      <w:pPr>
        <w:pStyle w:val="ListBullet"/>
      </w:pPr>
      <w:r>
        <w:t>Proven Customer Process: average 3.3 (lowest non-gap score)</w:t>
      </w:r>
    </w:p>
    <w:p>
      <w:pPr>
        <w:pStyle w:val="ListBullet"/>
      </w:pPr>
      <w:r>
        <w:t>Customer Feedback System: Kalani scored 3 (vs Dana 5, Cassidy 5)</w:t>
      </w:r>
    </w:p>
    <w:p>
      <w:pPr>
        <w:pStyle w:val="ListBullet"/>
      </w:pPr>
      <w:r>
        <w:t>Cassidy identified 13 specific operational improvements (listed in Section 4)</w:t>
      </w:r>
    </w:p>
    <w:p>
      <w:r>
        <w:br w:type="page"/>
      </w:r>
    </w:p>
    <w:p>
      <w:pPr>
        <w:pStyle w:val="Heading1"/>
      </w:pPr>
      <w:r>
        <w:rPr>
          <w:color w:val="1A2E4A"/>
        </w:rPr>
        <w:t>Section 3: Strengths to Leverage</w:t>
      </w:r>
    </w:p>
    <w:p>
      <w:r>
        <w:t>Despite the critical gaps identified, The Tailored Closet demonstrates several significant strengths that provide a solid foundation for improvement:</w:t>
      </w:r>
    </w:p>
    <w:p>
      <w:pPr>
        <w:pStyle w:val="ListNumber"/>
      </w:pPr>
      <w:r>
        <w:rPr>
          <w:sz w:val="22"/>
        </w:rPr>
        <w:t>Vision &amp; Values alignment is PERFECT (5/5/5) — rare and powerful foundation</w:t>
      </w:r>
    </w:p>
    <w:p>
      <w:pPr>
        <w:pStyle w:val="ListNumber"/>
      </w:pPr>
      <w:r>
        <w:rPr>
          <w:sz w:val="22"/>
        </w:rPr>
        <w:t>Right people in right roles — unanimous 4/4/4 agreement</w:t>
      </w:r>
    </w:p>
    <w:p>
      <w:pPr>
        <w:pStyle w:val="ListNumber"/>
      </w:pPr>
      <w:r>
        <w:rPr>
          <w:sz w:val="22"/>
        </w:rPr>
        <w:t>Issue identification &amp; resolution — unanimous 4/4/4 demonstrates effective problem-solving</w:t>
      </w:r>
    </w:p>
    <w:p>
      <w:pPr>
        <w:pStyle w:val="ListNumber"/>
      </w:pPr>
      <w:r>
        <w:rPr>
          <w:sz w:val="22"/>
        </w:rPr>
        <w:t>Core business focus — tight alignment (5/4/4) on what the business does</w:t>
      </w:r>
    </w:p>
    <w:p>
      <w:pPr>
        <w:pStyle w:val="ListNumber"/>
      </w:pPr>
      <w:r>
        <w:rPr>
          <w:sz w:val="22"/>
        </w:rPr>
        <w:t>Cassidy is highly engaged — 13 specific improvement suggestions shows ownership mentality and operational insight</w:t>
      </w:r>
    </w:p>
    <w:p>
      <w:r>
        <w:br w:type="page"/>
      </w:r>
    </w:p>
    <w:p>
      <w:pPr>
        <w:pStyle w:val="Heading1"/>
      </w:pPr>
      <w:r>
        <w:rPr>
          <w:color w:val="1A2E4A"/>
        </w:rPr>
        <w:t>Section 4: Cassidy Thompson's Operational Insights</w:t>
      </w:r>
    </w:p>
    <w:p>
      <w:r>
        <w:t>Cassidy Thompson provided 13 specific operational improvement suggestions, demonstrating deep engagement and ownership mentality:</w:t>
      </w:r>
    </w:p>
    <w:p>
      <w:pPr>
        <w:pStyle w:val="ListNumber"/>
      </w:pPr>
      <w:r>
        <w:rPr>
          <w:sz w:val="22"/>
        </w:rPr>
        <w:t>Distribute and explain installer tier level guidelines</w:t>
      </w:r>
    </w:p>
    <w:p>
      <w:pPr>
        <w:pStyle w:val="ListNumber"/>
      </w:pPr>
      <w:r>
        <w:rPr>
          <w:sz w:val="22"/>
        </w:rPr>
        <w:t>Thorough review of DVI files or designer accountability for DVI accuracy</w:t>
      </w:r>
    </w:p>
    <w:p>
      <w:pPr>
        <w:pStyle w:val="ListNumber"/>
      </w:pPr>
      <w:r>
        <w:rPr>
          <w:sz w:val="22"/>
        </w:rPr>
        <w:t>Share The Source installation information with designers</w:t>
      </w:r>
    </w:p>
    <w:p>
      <w:pPr>
        <w:pStyle w:val="ListNumber"/>
      </w:pPr>
      <w:r>
        <w:rPr>
          <w:sz w:val="22"/>
        </w:rPr>
        <w:t>Set 90-day reminders for new employee reviews</w:t>
      </w:r>
    </w:p>
    <w:p>
      <w:pPr>
        <w:pStyle w:val="ListNumber"/>
      </w:pPr>
      <w:r>
        <w:rPr>
          <w:sz w:val="22"/>
        </w:rPr>
        <w:t>Continue to include/change DVI files before ordering</w:t>
      </w:r>
    </w:p>
    <w:p>
      <w:pPr>
        <w:pStyle w:val="ListNumber"/>
      </w:pPr>
      <w:r>
        <w:rPr>
          <w:sz w:val="22"/>
        </w:rPr>
        <w:t>Create test cabinetry/closet systems at shop for training</w:t>
      </w:r>
    </w:p>
    <w:p>
      <w:pPr>
        <w:pStyle w:val="ListNumber"/>
      </w:pPr>
      <w:r>
        <w:rPr>
          <w:sz w:val="22"/>
        </w:rPr>
        <w:t>Incorporate SOMs into daily ordering</w:t>
      </w:r>
    </w:p>
    <w:p>
      <w:pPr>
        <w:pStyle w:val="ListNumber"/>
      </w:pPr>
      <w:r>
        <w:rPr>
          <w:sz w:val="22"/>
        </w:rPr>
        <w:t>Create list of recurring go-backs to track efficiency</w:t>
      </w:r>
    </w:p>
    <w:p>
      <w:pPr>
        <w:pStyle w:val="ListNumber"/>
      </w:pPr>
      <w:r>
        <w:rPr>
          <w:sz w:val="22"/>
        </w:rPr>
        <w:t>Create language template for crew leads with difficult customers</w:t>
      </w:r>
    </w:p>
    <w:p>
      <w:pPr>
        <w:pStyle w:val="ListNumber"/>
      </w:pPr>
      <w:r>
        <w:rPr>
          <w:sz w:val="22"/>
        </w:rPr>
        <w:t>Dial in material protection during transport</w:t>
      </w:r>
    </w:p>
    <w:p>
      <w:pPr>
        <w:pStyle w:val="ListNumber"/>
      </w:pPr>
      <w:r>
        <w:rPr>
          <w:sz w:val="22"/>
        </w:rPr>
        <w:t>Have review forms for employee improvements</w:t>
      </w:r>
    </w:p>
    <w:p>
      <w:pPr>
        <w:pStyle w:val="ListNumber"/>
      </w:pPr>
      <w:r>
        <w:rPr>
          <w:sz w:val="22"/>
        </w:rPr>
        <w:t>Ensure all costs recorded in budget (including Kalani/Cassidy hours)</w:t>
      </w:r>
    </w:p>
    <w:p>
      <w:pPr>
        <w:pStyle w:val="ListNumber"/>
      </w:pPr>
      <w:r>
        <w:rPr>
          <w:sz w:val="22"/>
        </w:rPr>
        <w:t>Double up on installs to cut lead times</w:t>
      </w:r>
    </w:p>
    <w:p/>
    <w:p>
      <w:r>
        <w:rPr>
          <w:b/>
        </w:rPr>
        <w:t xml:space="preserve">Significance: </w:t>
      </w:r>
      <w:r>
        <w:t>This level of detailed operational thinking from a manager is exceptional and indicates strong leadership potential. These insights should be prioritized in the improvement roadmap.</w:t>
      </w:r>
    </w:p>
    <w:p>
      <w:r>
        <w:br w:type="page"/>
      </w:r>
    </w:p>
    <w:p>
      <w:pPr>
        <w:pStyle w:val="Heading1"/>
      </w:pPr>
      <w:r>
        <w:rPr>
          <w:color w:val="1A2E4A"/>
        </w:rPr>
        <w:t>Section 5: Recommendations &amp; Action Plan</w:t>
      </w:r>
    </w:p>
    <w:p>
      <w:pPr>
        <w:pStyle w:val="Heading2"/>
      </w:pPr>
      <w:r>
        <w:rPr>
          <w:color w:val="DC3545"/>
        </w:rPr>
        <w:t>Immediate (2 Weeks)</w:t>
      </w:r>
    </w:p>
    <w:p>
      <w:pPr>
        <w:pStyle w:val="ListNumber"/>
      </w:pPr>
      <w:r>
        <w:rPr>
          <w:b/>
        </w:rPr>
        <w:t xml:space="preserve">Dana &amp; Kalani Strategic Alignment Meeting: </w:t>
      </w:r>
      <w:r>
        <w:t>Get on same page about 5-year target, market positioning, financial metrics. This is THE priority.</w:t>
      </w:r>
    </w:p>
    <w:p>
      <w:pPr>
        <w:pStyle w:val="ListNumber"/>
      </w:pPr>
      <w:r>
        <w:rPr>
          <w:b/>
        </w:rPr>
        <w:t xml:space="preserve">Share existing financial dashboard/metrics with Kalani: </w:t>
      </w:r>
      <w:r>
        <w:t>Close the visibility gap immediately.</w:t>
      </w:r>
    </w:p>
    <w:p/>
    <w:p>
      <w:pPr>
        <w:pStyle w:val="Heading2"/>
      </w:pPr>
      <w:r>
        <w:rPr>
          <w:color w:val="FFC107"/>
        </w:rPr>
        <w:t>30 Days</w:t>
      </w:r>
    </w:p>
    <w:p>
      <w:pPr>
        <w:pStyle w:val="ListNumber"/>
      </w:pPr>
      <w:r>
        <w:rPr>
          <w:b/>
        </w:rPr>
        <w:t xml:space="preserve">Formalize weekly management huddles: </w:t>
      </w:r>
      <w:r>
        <w:t>Written agenda, same day/time, scorecards reviewed.</w:t>
      </w:r>
    </w:p>
    <w:p>
      <w:pPr>
        <w:pStyle w:val="ListNumber"/>
      </w:pPr>
      <w:r>
        <w:rPr>
          <w:b/>
        </w:rPr>
        <w:t xml:space="preserve">Implement go-back tracking system: </w:t>
      </w:r>
      <w:r>
        <w:t>Cassidy's #1 operational ask — track recurring issues.</w:t>
      </w:r>
    </w:p>
    <w:p>
      <w:pPr>
        <w:pStyle w:val="ListNumber"/>
      </w:pPr>
      <w:r>
        <w:rPr>
          <w:b/>
        </w:rPr>
        <w:t xml:space="preserve">Build shared performance scorecard: </w:t>
      </w:r>
      <w:r>
        <w:t>Visible to all three leaders, reviewed weekly.</w:t>
      </w:r>
    </w:p>
    <w:p/>
    <w:p>
      <w:pPr>
        <w:pStyle w:val="Heading2"/>
      </w:pPr>
      <w:r>
        <w:rPr>
          <w:color w:val="1A2E4A"/>
        </w:rPr>
        <w:t>60-90 Days</w:t>
      </w:r>
    </w:p>
    <w:p>
      <w:pPr>
        <w:pStyle w:val="ListNumber"/>
      </w:pPr>
      <w:r>
        <w:rPr>
          <w:b/>
        </w:rPr>
        <w:t xml:space="preserve">Document customer journey process: </w:t>
      </w:r>
      <w:r>
        <w:t>Proven process scored 3.3 — needs formalization.</w:t>
      </w:r>
    </w:p>
    <w:p>
      <w:pPr>
        <w:pStyle w:val="ListNumber"/>
      </w:pPr>
      <w:r>
        <w:rPr>
          <w:b/>
        </w:rPr>
        <w:t xml:space="preserve">Implement customer feedback system visible to Kalani: </w:t>
      </w:r>
      <w:r>
        <w:t>Close feedback loop and improve Kalani's customer visibility.</w:t>
      </w:r>
    </w:p>
    <w:p>
      <w:pPr>
        <w:pStyle w:val="ListNumber"/>
      </w:pPr>
      <w:r>
        <w:rPr>
          <w:b/>
        </w:rPr>
        <w:t xml:space="preserve">Launch Cassidy's operational improvements: </w:t>
      </w:r>
      <w:r>
        <w:t>Prioritize top 5 from his list of 13.</w:t>
      </w:r>
    </w:p>
    <w:p>
      <w:pPr>
        <w:pStyle w:val="ListNumber"/>
      </w:pPr>
      <w:r>
        <w:rPr>
          <w:b/>
        </w:rPr>
        <w:t xml:space="preserve">Establish quarterly business review cadence: </w:t>
      </w:r>
      <w:r>
        <w:t>All three leaders review financials, strategy, and progress.</w:t>
      </w:r>
    </w:p>
    <w:p>
      <w:pPr>
        <w:pStyle w:val="ListNumber"/>
      </w:pPr>
      <w:r>
        <w:rPr>
          <w:b/>
        </w:rPr>
        <w:t xml:space="preserve">Build monthly owner alignment check-in: </w:t>
      </w:r>
      <w:r>
        <w:t>Dana + Kalani only — maintain strategic alignment.</w:t>
      </w:r>
    </w:p>
    <w:p>
      <w:r>
        <w:br w:type="page"/>
      </w:r>
    </w:p>
    <w:p>
      <w:pPr>
        <w:pStyle w:val="Heading1"/>
      </w:pPr>
      <w:r>
        <w:rPr>
          <w:color w:val="1A2E4A"/>
        </w:rPr>
        <w:t>Section 6: Conclusion</w:t>
      </w:r>
    </w:p>
    <w:p>
      <w:r>
        <w:rPr>
          <w:b/>
        </w:rPr>
        <w:t xml:space="preserve">Foundation is Solid: </w:t>
      </w:r>
      <w:r>
        <w:t>4.0/5.0 overall is a solid foundation — better than many businesses at this stage.</w:t>
      </w:r>
    </w:p>
    <w:p>
      <w:r>
        <w:rPr>
          <w:b/>
        </w:rPr>
        <w:t xml:space="preserve">The Real Issue: </w:t>
      </w:r>
      <w:r>
        <w:t>The critical issue is owner-to-owner alignment, not team dysfunction or operational failure.</w:t>
      </w:r>
    </w:p>
    <w:p>
      <w:r>
        <w:rPr>
          <w:b/>
        </w:rPr>
        <w:t xml:space="preserve">Cassidy is an Asset: </w:t>
      </w:r>
      <w:r>
        <w:t>Cassidy is a strong operational leader ready for more responsibility and clearly invested in the business's success.</w:t>
      </w:r>
    </w:p>
    <w:p>
      <w:r>
        <w:rPr>
          <w:b/>
        </w:rPr>
        <w:t xml:space="preserve">Fix the Root Cause: </w:t>
      </w:r>
      <w:r>
        <w:t>Fixing the Dana-Kalani gap unlocks everything else. Without owner alignment, downstream initiatives will struggle.</w:t>
      </w:r>
    </w:p>
    <w:p>
      <w:r>
        <w:rPr>
          <w:b/>
        </w:rPr>
        <w:t xml:space="preserve">Clear Path Forward: </w:t>
      </w:r>
      <w:r>
        <w:t>Owner alignment → structured accountability → operational excellence.</w:t>
      </w:r>
    </w:p>
    <w:p/>
    <w:p/>
    <w:p>
      <w:pPr>
        <w:jc w:val="center"/>
      </w:pPr>
      <w:r>
        <w:rPr>
          <w:i/>
          <w:sz w:val="24"/>
        </w:rPr>
        <w:t>The opportunity is significant. The roadmap is clear. The team is capable. The priority is obvious: align the owners first.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8"/>
      </w:rPr>
      <w:t>Business Succession Pros, Inc. — Confidential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